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0857" w:rsidP="001E0857" w:rsidRDefault="0039657D" w14:paraId="599A30CE" w14:textId="77777777">
      <w:pPr>
        <w:ind w:left="3600" w:firstLine="720"/>
        <w:rPr>
          <w:rFonts w:cstheme="minorHAnsi"/>
          <w:b/>
          <w:sz w:val="24"/>
          <w:szCs w:val="24"/>
        </w:rPr>
      </w:pPr>
      <w:r>
        <w:rPr>
          <w:rFonts w:cstheme="minorHAnsi"/>
          <w:b/>
          <w:noProof/>
          <w:sz w:val="28"/>
          <w:szCs w:val="28"/>
        </w:rPr>
        <w:drawing>
          <wp:anchor distT="0" distB="0" distL="114300" distR="114300" simplePos="0" relativeHeight="251662336" behindDoc="1" locked="0" layoutInCell="1" allowOverlap="1" wp14:anchorId="74308966" wp14:editId="051400EC">
            <wp:simplePos x="0" y="0"/>
            <wp:positionH relativeFrom="margin">
              <wp:align>center</wp:align>
            </wp:positionH>
            <wp:positionV relativeFrom="paragraph">
              <wp:posOffset>-529387</wp:posOffset>
            </wp:positionV>
            <wp:extent cx="5581015" cy="1078230"/>
            <wp:effectExtent l="0" t="0" r="635" b="7620"/>
            <wp:wrapNone/>
            <wp:docPr id="5" name="Picture 5" descr="C:\Users\grainne.mulvihill\AppData\Local\Microsoft\Windows\INetCache\Content.MSO\D506D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inne.mulvihill\AppData\Local\Microsoft\Windows\INetCache\Content.MSO\D506D55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01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857" w:rsidP="001E0857" w:rsidRDefault="001E0857" w14:paraId="0B4F41B4" w14:textId="77777777">
      <w:pPr>
        <w:ind w:left="3600" w:firstLine="720"/>
        <w:rPr>
          <w:rFonts w:cstheme="minorHAnsi"/>
          <w:b/>
          <w:sz w:val="24"/>
          <w:szCs w:val="24"/>
        </w:rPr>
      </w:pPr>
    </w:p>
    <w:p w:rsidRPr="001E0857" w:rsidR="001E0857" w:rsidP="001E0857" w:rsidRDefault="0039657D" w14:paraId="7A985B52" w14:textId="77777777">
      <w:pPr>
        <w:ind w:left="3600" w:firstLine="720"/>
        <w:rPr>
          <w:rFonts w:cstheme="minorHAnsi"/>
          <w:b/>
          <w:sz w:val="28"/>
          <w:szCs w:val="28"/>
        </w:rPr>
      </w:pPr>
      <w:r>
        <w:rPr>
          <w:rFonts w:ascii="Calibri" w:hAnsi="Calibri" w:cs="Calibri"/>
          <w:color w:val="000000"/>
          <w:shd w:val="clear" w:color="auto" w:fill="FFFFFF"/>
        </w:rPr>
        <w:br/>
      </w:r>
    </w:p>
    <w:p w:rsidRPr="001E0857" w:rsidR="001E0857" w:rsidP="001E0857" w:rsidRDefault="001E0857" w14:paraId="41F45D30" w14:textId="77777777">
      <w:pPr>
        <w:ind w:left="3600" w:firstLine="720"/>
        <w:rPr>
          <w:rFonts w:cstheme="minorHAnsi"/>
          <w:b/>
          <w:sz w:val="28"/>
          <w:szCs w:val="28"/>
        </w:rPr>
      </w:pPr>
      <w:r w:rsidRPr="001E0857">
        <w:rPr>
          <w:rFonts w:cstheme="minorHAnsi"/>
          <w:b/>
          <w:sz w:val="28"/>
          <w:szCs w:val="28"/>
        </w:rPr>
        <w:t>Kerry ETB</w:t>
      </w:r>
    </w:p>
    <w:p w:rsidRPr="001E0857" w:rsidR="001E0857" w:rsidP="001E0857" w:rsidRDefault="001E0857" w14:paraId="56A7D2C7" w14:textId="77777777">
      <w:pPr>
        <w:jc w:val="center"/>
        <w:rPr>
          <w:rFonts w:cstheme="minorHAnsi"/>
          <w:b/>
          <w:sz w:val="28"/>
          <w:szCs w:val="28"/>
        </w:rPr>
      </w:pPr>
    </w:p>
    <w:p w:rsidRPr="001E0857" w:rsidR="001E0857" w:rsidP="2B28E4B1" w:rsidRDefault="001E0857" w14:paraId="7F4DFC0C" w14:textId="38F01E3E">
      <w:pPr>
        <w:jc w:val="center"/>
        <w:rPr>
          <w:rFonts w:cs="Calibri" w:cstheme="minorAscii"/>
          <w:b w:val="1"/>
          <w:bCs w:val="1"/>
          <w:sz w:val="28"/>
          <w:szCs w:val="28"/>
        </w:rPr>
      </w:pPr>
      <w:r w:rsidRPr="2B28E4B1" w:rsidR="001E0857">
        <w:rPr>
          <w:rFonts w:cs="Calibri" w:cstheme="minorAscii"/>
          <w:b w:val="1"/>
          <w:bCs w:val="1"/>
          <w:sz w:val="28"/>
          <w:szCs w:val="28"/>
        </w:rPr>
        <w:t>Protected Disclosures Annual Report 202</w:t>
      </w:r>
      <w:r w:rsidRPr="2B28E4B1" w:rsidR="4A44809B">
        <w:rPr>
          <w:rFonts w:cs="Calibri" w:cstheme="minorAscii"/>
          <w:b w:val="1"/>
          <w:bCs w:val="1"/>
          <w:sz w:val="28"/>
          <w:szCs w:val="28"/>
        </w:rPr>
        <w:t>4</w:t>
      </w:r>
    </w:p>
    <w:p w:rsidRPr="001E0857" w:rsidR="001E0857" w:rsidP="001E0857" w:rsidRDefault="001E0857" w14:paraId="6DCB5DCE" w14:textId="77777777">
      <w:pPr>
        <w:jc w:val="center"/>
        <w:rPr>
          <w:rFonts w:cstheme="minorHAnsi"/>
          <w:b/>
          <w:sz w:val="28"/>
          <w:szCs w:val="28"/>
        </w:rPr>
      </w:pPr>
    </w:p>
    <w:p w:rsidRPr="001E0857" w:rsidR="001E0857" w:rsidP="001E0857" w:rsidRDefault="001E0857" w14:paraId="2DDA9502" w14:textId="77777777">
      <w:pPr>
        <w:jc w:val="center"/>
        <w:rPr>
          <w:rFonts w:cstheme="minorHAnsi"/>
          <w:b/>
          <w:sz w:val="28"/>
          <w:szCs w:val="28"/>
        </w:rPr>
      </w:pPr>
    </w:p>
    <w:p w:rsidRPr="001E0857" w:rsidR="001E0857" w:rsidP="001E0857" w:rsidRDefault="001E0857" w14:paraId="35933A3B" w14:textId="77777777">
      <w:pPr>
        <w:jc w:val="center"/>
        <w:rPr>
          <w:rFonts w:cstheme="minorHAnsi"/>
          <w:b/>
          <w:i/>
          <w:sz w:val="28"/>
          <w:szCs w:val="28"/>
        </w:rPr>
      </w:pPr>
      <w:r w:rsidRPr="001E0857">
        <w:rPr>
          <w:rFonts w:cstheme="minorHAnsi"/>
          <w:b/>
          <w:i/>
          <w:sz w:val="28"/>
          <w:szCs w:val="28"/>
        </w:rPr>
        <w:t>Protected Disclosures Act 2014</w:t>
      </w:r>
      <w:r w:rsidR="000670A9">
        <w:rPr>
          <w:rFonts w:cstheme="minorHAnsi"/>
          <w:b/>
          <w:i/>
          <w:sz w:val="28"/>
          <w:szCs w:val="28"/>
        </w:rPr>
        <w:t xml:space="preserve"> &amp; </w:t>
      </w:r>
      <w:bookmarkStart w:name="_GoBack" w:id="0"/>
      <w:r w:rsidRPr="000670A9" w:rsidR="000670A9">
        <w:rPr>
          <w:rFonts w:cstheme="minorHAnsi"/>
          <w:b/>
          <w:i/>
          <w:sz w:val="28"/>
          <w:szCs w:val="28"/>
        </w:rPr>
        <w:t>Protected Disclosures (Amendment) Act 2022</w:t>
      </w:r>
      <w:bookmarkEnd w:id="0"/>
    </w:p>
    <w:p w:rsidRPr="006A7E30" w:rsidR="001E0857" w:rsidP="001E0857" w:rsidRDefault="001E0857" w14:paraId="6C2DAE5E" w14:textId="77777777">
      <w:pPr>
        <w:spacing w:line="276" w:lineRule="auto"/>
        <w:jc w:val="center"/>
        <w:rPr>
          <w:rFonts w:cstheme="minorHAnsi"/>
          <w:sz w:val="24"/>
          <w:szCs w:val="24"/>
        </w:rPr>
      </w:pPr>
    </w:p>
    <w:p w:rsidRPr="006A7E30" w:rsidR="006A7E30" w:rsidP="330CBF38" w:rsidRDefault="001E0857" w14:paraId="2F872A2F" w14:textId="4C492347">
      <w:pPr>
        <w:rPr>
          <w:rFonts w:cs="Calibri" w:cstheme="minorAscii"/>
          <w:sz w:val="24"/>
          <w:szCs w:val="24"/>
          <w:lang w:val="en-IE"/>
        </w:rPr>
      </w:pPr>
      <w:r w:rsidRPr="2B28E4B1" w:rsidR="001E0857">
        <w:rPr>
          <w:rFonts w:cs="Calibri" w:cstheme="minorAscii"/>
          <w:sz w:val="24"/>
          <w:szCs w:val="24"/>
          <w:lang w:val="en-IE"/>
        </w:rPr>
        <w:t>The Protected Disclosures Act 2014 came into effect on 15 July 2014</w:t>
      </w:r>
      <w:r w:rsidRPr="2B28E4B1" w:rsidR="001E0857">
        <w:rPr>
          <w:rFonts w:cs="Calibri" w:cstheme="minorAscii"/>
          <w:sz w:val="24"/>
          <w:szCs w:val="24"/>
          <w:lang w:val="en-IE"/>
        </w:rPr>
        <w:t>.</w:t>
      </w:r>
      <w:r w:rsidRPr="2B28E4B1" w:rsidR="006A7E30">
        <w:rPr>
          <w:rFonts w:cs="Calibri" w:cstheme="minorAscii"/>
          <w:sz w:val="24"/>
          <w:szCs w:val="24"/>
          <w:lang w:val="en-IE"/>
        </w:rPr>
        <w:t xml:space="preserve">  </w:t>
      </w:r>
      <w:r w:rsidRPr="2B28E4B1" w:rsidR="006A7E30">
        <w:rPr>
          <w:rFonts w:cs="Calibri" w:cstheme="minorAscii"/>
          <w:sz w:val="24"/>
          <w:szCs w:val="24"/>
          <w:lang w:val="en-IE"/>
        </w:rPr>
        <w:t xml:space="preserve"> Kerry ETB acknowledges the Protected Disclosures (Amen</w:t>
      </w:r>
      <w:r w:rsidRPr="2B28E4B1" w:rsidR="00115C30">
        <w:rPr>
          <w:rFonts w:cs="Calibri" w:cstheme="minorAscii"/>
          <w:sz w:val="24"/>
          <w:szCs w:val="24"/>
          <w:lang w:val="en-IE"/>
        </w:rPr>
        <w:t xml:space="preserve">dment) Act 2022 </w:t>
      </w:r>
      <w:r w:rsidRPr="2B28E4B1" w:rsidR="00115C30">
        <w:rPr>
          <w:rFonts w:cs="Calibri" w:cstheme="minorAscii"/>
          <w:sz w:val="24"/>
          <w:szCs w:val="24"/>
          <w:lang w:val="en-IE"/>
        </w:rPr>
        <w:t>commenced</w:t>
      </w:r>
      <w:r w:rsidRPr="2B28E4B1" w:rsidR="00115C30">
        <w:rPr>
          <w:rFonts w:cs="Calibri" w:cstheme="minorAscii"/>
          <w:sz w:val="24"/>
          <w:szCs w:val="24"/>
          <w:lang w:val="en-IE"/>
        </w:rPr>
        <w:t xml:space="preserve"> on 1</w:t>
      </w:r>
      <w:r w:rsidRPr="2B28E4B1" w:rsidR="00115C30">
        <w:rPr>
          <w:rFonts w:cs="Calibri" w:cstheme="minorAscii"/>
          <w:sz w:val="24"/>
          <w:szCs w:val="24"/>
          <w:vertAlign w:val="superscript"/>
          <w:lang w:val="en-IE"/>
        </w:rPr>
        <w:t>s</w:t>
      </w:r>
      <w:r w:rsidRPr="2B28E4B1" w:rsidR="006A7E30">
        <w:rPr>
          <w:rFonts w:cs="Calibri" w:cstheme="minorAscii"/>
          <w:sz w:val="24"/>
          <w:szCs w:val="24"/>
          <w:vertAlign w:val="superscript"/>
          <w:lang w:val="en-IE"/>
        </w:rPr>
        <w:t>t</w:t>
      </w:r>
      <w:r w:rsidRPr="2B28E4B1" w:rsidR="00115C30">
        <w:rPr>
          <w:rFonts w:cs="Calibri" w:cstheme="minorAscii"/>
          <w:sz w:val="24"/>
          <w:szCs w:val="24"/>
          <w:lang w:val="en-IE"/>
        </w:rPr>
        <w:t xml:space="preserve"> </w:t>
      </w:r>
      <w:r w:rsidRPr="2B28E4B1" w:rsidR="006A7E30">
        <w:rPr>
          <w:rFonts w:cs="Calibri" w:cstheme="minorAscii"/>
          <w:sz w:val="24"/>
          <w:szCs w:val="24"/>
          <w:lang w:val="en-IE"/>
        </w:rPr>
        <w:t>January 202</w:t>
      </w:r>
      <w:r w:rsidRPr="2B28E4B1" w:rsidR="29174C19">
        <w:rPr>
          <w:rFonts w:cs="Calibri" w:cstheme="minorAscii"/>
          <w:sz w:val="24"/>
          <w:szCs w:val="24"/>
          <w:lang w:val="en-IE"/>
        </w:rPr>
        <w:t>3</w:t>
      </w:r>
      <w:r w:rsidRPr="2B28E4B1" w:rsidR="006A7E30">
        <w:rPr>
          <w:rFonts w:cs="Calibri" w:cstheme="minorAscii"/>
          <w:sz w:val="24"/>
          <w:szCs w:val="24"/>
          <w:lang w:val="en-IE"/>
        </w:rPr>
        <w:t xml:space="preserve"> and updates the original act.  </w:t>
      </w:r>
    </w:p>
    <w:p w:rsidRPr="00C55663" w:rsidR="001E0857" w:rsidP="001E0857" w:rsidRDefault="001E0857" w14:paraId="6F6A2569" w14:textId="77777777">
      <w:pPr>
        <w:spacing w:line="276" w:lineRule="auto"/>
        <w:rPr>
          <w:rFonts w:cstheme="minorHAnsi"/>
          <w:sz w:val="24"/>
          <w:szCs w:val="24"/>
        </w:rPr>
      </w:pPr>
    </w:p>
    <w:p w:rsidRPr="00C55663" w:rsidR="001E0857" w:rsidP="330CBF38" w:rsidRDefault="001E0857" w14:paraId="562A3344" w14:textId="77777777" w14:noSpellErr="1">
      <w:pPr>
        <w:spacing w:line="276" w:lineRule="auto"/>
        <w:rPr>
          <w:rFonts w:cs="Calibri" w:cstheme="minorAscii"/>
          <w:sz w:val="24"/>
          <w:szCs w:val="24"/>
          <w:lang w:val="en-IE"/>
        </w:rPr>
      </w:pPr>
      <w:r w:rsidRPr="330CBF38" w:rsidR="001E0857">
        <w:rPr>
          <w:rFonts w:cs="Calibri" w:cstheme="minorAscii"/>
          <w:sz w:val="24"/>
          <w:szCs w:val="24"/>
          <w:lang w:val="en-IE"/>
        </w:rPr>
        <w:t>This Act provides a framework within which workers can raise concerns regarding potential wrongdoing that has come to their attention in the workplace in the knowledge that they can avail of significant and other protections if they are penalised by their employer or suffer any detriment for doing so.</w:t>
      </w:r>
    </w:p>
    <w:p w:rsidRPr="00C55663" w:rsidR="001E0857" w:rsidP="001E0857" w:rsidRDefault="001E0857" w14:paraId="2BFD96F0" w14:textId="77777777">
      <w:pPr>
        <w:spacing w:line="276" w:lineRule="auto"/>
        <w:rPr>
          <w:rFonts w:cstheme="minorHAnsi"/>
          <w:sz w:val="24"/>
          <w:szCs w:val="24"/>
        </w:rPr>
      </w:pPr>
    </w:p>
    <w:p w:rsidRPr="00C55663" w:rsidR="001E0857" w:rsidP="330CBF38" w:rsidRDefault="001E0857" w14:paraId="3A9449DB" w14:textId="77777777" w14:noSpellErr="1">
      <w:pPr>
        <w:spacing w:line="276" w:lineRule="auto"/>
        <w:rPr>
          <w:rFonts w:cs="Calibri" w:cstheme="minorAscii"/>
          <w:sz w:val="24"/>
          <w:szCs w:val="24"/>
          <w:lang w:val="en-IE"/>
        </w:rPr>
      </w:pPr>
      <w:r w:rsidRPr="330CBF38" w:rsidR="001E0857">
        <w:rPr>
          <w:rFonts w:cs="Calibri" w:cstheme="minorAscii"/>
          <w:sz w:val="24"/>
          <w:szCs w:val="24"/>
          <w:lang w:val="en-IE"/>
        </w:rPr>
        <w:t>Kerry ETB has put in place a policy, which in tandem with the legislation, will encourage workers to report potential wrongdoing in the knowledge that their concerns will be taken seriously and investigated, where appropriate, and that their confidentiality will be respected.</w:t>
      </w:r>
    </w:p>
    <w:p w:rsidRPr="00C55663" w:rsidR="001E0857" w:rsidP="001E0857" w:rsidRDefault="001E0857" w14:paraId="65E23A23" w14:textId="77777777">
      <w:pPr>
        <w:spacing w:line="276" w:lineRule="auto"/>
        <w:rPr>
          <w:rFonts w:cstheme="minorHAnsi"/>
          <w:sz w:val="24"/>
          <w:szCs w:val="24"/>
        </w:rPr>
      </w:pPr>
    </w:p>
    <w:p w:rsidRPr="00C55663" w:rsidR="001E0857" w:rsidP="330CBF38" w:rsidRDefault="001E0857" w14:paraId="32DD39EA" w14:textId="77777777" w14:noSpellErr="1">
      <w:pPr>
        <w:spacing w:line="276" w:lineRule="auto"/>
        <w:rPr>
          <w:rFonts w:cs="Calibri" w:cstheme="minorAscii"/>
          <w:sz w:val="24"/>
          <w:szCs w:val="24"/>
          <w:lang w:val="en-IE"/>
        </w:rPr>
      </w:pPr>
      <w:r w:rsidRPr="330CBF38" w:rsidR="001E0857">
        <w:rPr>
          <w:rFonts w:cs="Calibri" w:cstheme="minorAscii"/>
          <w:sz w:val="24"/>
          <w:szCs w:val="24"/>
          <w:lang w:val="en-IE"/>
        </w:rPr>
        <w:t>The policy highlights that it is always appropriate to raise concerns when they are based on a reasonable belief, irrespective of whether any wrongdoing is in fact subsequently identified. The policy also provides workers with guidance on how to raise concerns</w:t>
      </w:r>
    </w:p>
    <w:p w:rsidRPr="00C55663" w:rsidR="001E0857" w:rsidP="001E0857" w:rsidRDefault="001E0857" w14:paraId="6C03A0BE" w14:textId="77777777">
      <w:pPr>
        <w:spacing w:line="276" w:lineRule="auto"/>
        <w:rPr>
          <w:rFonts w:cstheme="minorHAnsi"/>
          <w:sz w:val="24"/>
          <w:szCs w:val="24"/>
        </w:rPr>
      </w:pPr>
    </w:p>
    <w:p w:rsidRPr="00C55663" w:rsidR="001E0857" w:rsidP="330CBF38" w:rsidRDefault="001E0857" w14:paraId="623A97F3" w14:textId="77777777" w14:noSpellErr="1">
      <w:pPr>
        <w:spacing w:line="276" w:lineRule="auto"/>
        <w:rPr>
          <w:rFonts w:cs="Calibri" w:cstheme="minorAscii"/>
          <w:sz w:val="24"/>
          <w:szCs w:val="24"/>
          <w:lang w:val="en-IE"/>
        </w:rPr>
      </w:pPr>
      <w:r w:rsidRPr="330CBF38" w:rsidR="001E0857">
        <w:rPr>
          <w:rFonts w:cs="Calibri" w:cstheme="minorAscii"/>
          <w:sz w:val="24"/>
          <w:szCs w:val="24"/>
          <w:lang w:val="en-IE"/>
        </w:rPr>
        <w:t>This policy applies to all Kerry ETB workers including contractors, consultants, agency staff, former employees and interns/trainees.</w:t>
      </w:r>
    </w:p>
    <w:p w:rsidRPr="00C55663" w:rsidR="001E0857" w:rsidP="001E0857" w:rsidRDefault="001E0857" w14:paraId="7CE43A16" w14:textId="77777777">
      <w:pPr>
        <w:spacing w:line="276" w:lineRule="auto"/>
        <w:rPr>
          <w:rFonts w:cstheme="minorHAnsi"/>
          <w:sz w:val="24"/>
          <w:szCs w:val="24"/>
        </w:rPr>
      </w:pPr>
    </w:p>
    <w:p w:rsidR="001E0857" w:rsidP="330CBF38" w:rsidRDefault="001E0857" w14:paraId="5A956503" w14:textId="77777777" w14:noSpellErr="1">
      <w:pPr>
        <w:spacing w:line="276" w:lineRule="auto"/>
        <w:rPr>
          <w:rFonts w:ascii="Calibri Light" w:hAnsi="Calibri Light" w:cs="Calibri Light" w:asciiTheme="majorAscii" w:hAnsiTheme="majorAscii" w:cstheme="majorAscii"/>
          <w:b w:val="1"/>
          <w:bCs w:val="1"/>
          <w:sz w:val="28"/>
          <w:szCs w:val="28"/>
          <w:lang w:val="en-IE"/>
        </w:rPr>
      </w:pPr>
      <w:r w:rsidRPr="330CBF38" w:rsidR="001E0857">
        <w:rPr>
          <w:rFonts w:cs="Calibri" w:cstheme="minorAscii"/>
          <w:sz w:val="24"/>
          <w:szCs w:val="24"/>
          <w:lang w:val="en-IE"/>
        </w:rPr>
        <w:t xml:space="preserve">In accordance with the provisions of the Protected Disclosures Act 2014, Kerry ETB has appointed the </w:t>
      </w:r>
      <w:r w:rsidRPr="330CBF38" w:rsidR="00553908">
        <w:rPr>
          <w:rFonts w:cs="Calibri" w:cstheme="minorAscii"/>
          <w:sz w:val="24"/>
          <w:szCs w:val="24"/>
          <w:lang w:val="en-IE"/>
        </w:rPr>
        <w:t xml:space="preserve">Data Protection </w:t>
      </w:r>
      <w:r w:rsidRPr="330CBF38" w:rsidR="0039657D">
        <w:rPr>
          <w:rFonts w:cs="Calibri" w:cstheme="minorAscii"/>
          <w:sz w:val="24"/>
          <w:szCs w:val="24"/>
          <w:lang w:val="en-IE"/>
        </w:rPr>
        <w:t>Officer</w:t>
      </w:r>
      <w:r w:rsidRPr="330CBF38" w:rsidR="001E0857">
        <w:rPr>
          <w:rFonts w:cs="Calibri" w:cstheme="minorAscii"/>
          <w:sz w:val="24"/>
          <w:szCs w:val="24"/>
          <w:lang w:val="en-IE"/>
        </w:rPr>
        <w:t xml:space="preserve"> to receive protected disclosures. The designated officer can be contacted by telephone at 066-7193900, by email at </w:t>
      </w:r>
      <w:hyperlink r:id="Rb0f98b15f3224ce7">
        <w:r w:rsidRPr="330CBF38" w:rsidR="001E0857">
          <w:rPr>
            <w:rStyle w:val="Hyperlink"/>
            <w:rFonts w:cs="Calibri" w:cstheme="minorAscii"/>
            <w:sz w:val="24"/>
            <w:szCs w:val="24"/>
            <w:lang w:val="en-IE"/>
          </w:rPr>
          <w:t>corporateaffairs@kerryetb.ie</w:t>
        </w:r>
      </w:hyperlink>
      <w:r w:rsidRPr="330CBF38" w:rsidR="001E0857">
        <w:rPr>
          <w:rFonts w:cs="Calibri" w:cstheme="minorAscii"/>
          <w:sz w:val="24"/>
          <w:szCs w:val="24"/>
          <w:lang w:val="en-IE"/>
        </w:rPr>
        <w:t xml:space="preserve">  or by post to </w:t>
      </w:r>
      <w:r w:rsidRPr="330CBF38" w:rsidR="001E0857">
        <w:rPr>
          <w:rFonts w:cs="Calibri" w:cstheme="minorAscii"/>
          <w:i w:val="1"/>
          <w:iCs w:val="1"/>
          <w:sz w:val="24"/>
          <w:szCs w:val="24"/>
          <w:lang w:val="en-IE"/>
        </w:rPr>
        <w:t>Protected Disclosures</w:t>
      </w:r>
      <w:r w:rsidRPr="330CBF38" w:rsidR="001E0857">
        <w:rPr>
          <w:rFonts w:cs="Calibri" w:cstheme="minorAscii"/>
          <w:i w:val="1"/>
          <w:iCs w:val="1"/>
          <w:sz w:val="24"/>
          <w:szCs w:val="24"/>
          <w:lang w:val="en-IE"/>
        </w:rPr>
        <w:t xml:space="preserve"> Officer, Kerry ETB, Centrepoint, John Joe Sheehy Road, Tralee, Co. Kerry. V92 P2FE</w:t>
      </w:r>
    </w:p>
    <w:p w:rsidR="001E0857" w:rsidP="001E0857" w:rsidRDefault="001E0857" w14:paraId="30510A38" w14:textId="77777777">
      <w:pPr>
        <w:spacing w:line="276" w:lineRule="auto"/>
        <w:rPr>
          <w:rFonts w:asciiTheme="majorHAnsi" w:hAnsiTheme="majorHAnsi" w:cstheme="majorHAnsi"/>
          <w:b/>
          <w:sz w:val="28"/>
          <w:szCs w:val="28"/>
        </w:rPr>
      </w:pPr>
      <w:r>
        <w:rPr>
          <w:rFonts w:asciiTheme="majorHAnsi" w:hAnsiTheme="majorHAnsi" w:cstheme="majorHAnsi"/>
          <w:b/>
          <w:sz w:val="28"/>
          <w:szCs w:val="28"/>
        </w:rPr>
        <w:br w:type="page"/>
      </w:r>
    </w:p>
    <w:p w:rsidR="00807904" w:rsidP="001D50C8" w:rsidRDefault="0039657D" w14:paraId="3001CFED" w14:textId="77777777">
      <w:pPr>
        <w:rPr>
          <w:rFonts w:asciiTheme="majorHAnsi" w:hAnsiTheme="majorHAnsi" w:cstheme="majorHAnsi"/>
          <w:b/>
          <w:sz w:val="28"/>
          <w:szCs w:val="28"/>
        </w:rPr>
      </w:pPr>
      <w:r>
        <w:rPr>
          <w:rFonts w:asciiTheme="majorHAnsi" w:hAnsiTheme="majorHAnsi" w:cstheme="majorHAnsi"/>
          <w:b/>
          <w:noProof/>
          <w:sz w:val="28"/>
          <w:szCs w:val="28"/>
        </w:rPr>
        <w:lastRenderedPageBreak/>
        <w:drawing>
          <wp:anchor distT="0" distB="0" distL="114300" distR="114300" simplePos="0" relativeHeight="251663360" behindDoc="1" locked="0" layoutInCell="1" allowOverlap="1" wp14:anchorId="6B7422BE" wp14:editId="6165B806">
            <wp:simplePos x="0" y="0"/>
            <wp:positionH relativeFrom="margin">
              <wp:align>right</wp:align>
            </wp:positionH>
            <wp:positionV relativeFrom="paragraph">
              <wp:posOffset>-496043</wp:posOffset>
            </wp:positionV>
            <wp:extent cx="2346385" cy="782243"/>
            <wp:effectExtent l="0" t="0" r="0" b="0"/>
            <wp:wrapNone/>
            <wp:docPr id="4" name="Picture 4" descr="C:\Users\grainne.mulvihill\AppData\Local\Microsoft\Windows\INetCache\Content.MSO\3FBA44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inne.mulvihill\AppData\Local\Microsoft\Windows\INetCache\Content.MSO\3FBA44B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6385" cy="7822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hd w:val="clear" w:color="auto" w:fill="FFFFFF"/>
        </w:rPr>
        <w:br/>
      </w:r>
    </w:p>
    <w:p w:rsidRPr="00C15590" w:rsidR="001D50C8" w:rsidP="001D50C8" w:rsidRDefault="001D50C8" w14:paraId="509278CF" w14:textId="77777777">
      <w:pPr>
        <w:rPr>
          <w:rFonts w:asciiTheme="majorHAnsi" w:hAnsiTheme="majorHAnsi" w:cstheme="majorHAnsi"/>
          <w:b/>
          <w:sz w:val="28"/>
          <w:szCs w:val="28"/>
        </w:rPr>
      </w:pPr>
      <w:r w:rsidRPr="00C15590">
        <w:rPr>
          <w:rFonts w:asciiTheme="majorHAnsi" w:hAnsiTheme="majorHAnsi" w:cstheme="majorHAnsi"/>
          <w:b/>
          <w:sz w:val="28"/>
          <w:szCs w:val="28"/>
        </w:rPr>
        <w:t>Kerry ETB</w:t>
      </w:r>
    </w:p>
    <w:p w:rsidRPr="00C15590" w:rsidR="001D50C8" w:rsidP="2B28E4B1" w:rsidRDefault="001D50C8" w14:paraId="1E318281" w14:textId="5D95FF59">
      <w:pPr>
        <w:rPr>
          <w:rFonts w:ascii="Calibri Light" w:hAnsi="Calibri Light" w:cs="Calibri Light" w:asciiTheme="majorAscii" w:hAnsiTheme="majorAscii" w:cstheme="majorAscii"/>
          <w:b w:val="1"/>
          <w:bCs w:val="1"/>
          <w:sz w:val="28"/>
          <w:szCs w:val="28"/>
          <w:u w:val="single"/>
        </w:rPr>
      </w:pPr>
      <w:r w:rsidRPr="2B28E4B1" w:rsidR="001D50C8">
        <w:rPr>
          <w:rFonts w:ascii="Calibri Light" w:hAnsi="Calibri Light" w:cs="Calibri Light" w:asciiTheme="majorAscii" w:hAnsiTheme="majorAscii" w:cstheme="majorAscii"/>
          <w:b w:val="1"/>
          <w:bCs w:val="1"/>
          <w:sz w:val="28"/>
          <w:szCs w:val="28"/>
        </w:rPr>
        <w:t xml:space="preserve">Annual Report to the Minister for Public Expenditure and Reform for the year </w:t>
      </w:r>
      <w:r w:rsidRPr="2B28E4B1" w:rsidR="001D50C8">
        <w:rPr>
          <w:rFonts w:ascii="Calibri Light" w:hAnsi="Calibri Light" w:cs="Calibri Light" w:asciiTheme="majorAscii" w:hAnsiTheme="majorAscii" w:cstheme="majorAscii"/>
          <w:b w:val="1"/>
          <w:bCs w:val="1"/>
          <w:sz w:val="28"/>
          <w:szCs w:val="28"/>
          <w:u w:val="single"/>
        </w:rPr>
        <w:t>202</w:t>
      </w:r>
      <w:r w:rsidRPr="2B28E4B1" w:rsidR="2EAACF05">
        <w:rPr>
          <w:rFonts w:ascii="Calibri Light" w:hAnsi="Calibri Light" w:cs="Calibri Light" w:asciiTheme="majorAscii" w:hAnsiTheme="majorAscii" w:cstheme="majorAscii"/>
          <w:b w:val="1"/>
          <w:bCs w:val="1"/>
          <w:sz w:val="28"/>
          <w:szCs w:val="28"/>
          <w:u w:val="single"/>
        </w:rPr>
        <w:t>4</w:t>
      </w:r>
    </w:p>
    <w:p w:rsidR="001D50C8" w:rsidP="001D50C8" w:rsidRDefault="001D50C8" w14:paraId="6C685884" w14:textId="77777777"/>
    <w:tbl>
      <w:tblPr>
        <w:tblStyle w:val="TableGrid"/>
        <w:tblW w:w="0" w:type="auto"/>
        <w:tblLook w:val="04A0" w:firstRow="1" w:lastRow="0" w:firstColumn="1" w:lastColumn="0" w:noHBand="0" w:noVBand="1"/>
      </w:tblPr>
      <w:tblGrid>
        <w:gridCol w:w="691"/>
        <w:gridCol w:w="7242"/>
        <w:gridCol w:w="1418"/>
      </w:tblGrid>
      <w:tr w:rsidRPr="00C15590" w:rsidR="001D50C8" w:rsidTr="330CBF38" w14:paraId="390C319A" w14:textId="77777777">
        <w:tc>
          <w:tcPr>
            <w:tcW w:w="691" w:type="dxa"/>
            <w:tcMar/>
            <w:vAlign w:val="center"/>
          </w:tcPr>
          <w:p w:rsidRPr="00C15590" w:rsidR="001D50C8" w:rsidP="00FA61C3" w:rsidRDefault="001D50C8" w14:paraId="7A18AEFE"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1FFE4DF9" w14:textId="77777777" w14:noSpellErr="1">
            <w:pPr>
              <w:spacing w:before="120" w:after="120"/>
            </w:pPr>
            <w:r w:rsidRPr="330CBF38" w:rsidR="001D50C8">
              <w:rPr>
                <w:lang w:val="en-IE"/>
              </w:rPr>
              <w:t>T</w:t>
            </w:r>
            <w:r w:rsidRPr="330CBF38" w:rsidR="001D50C8">
              <w:rPr>
                <w:lang w:val="en-IE"/>
              </w:rPr>
              <w:t>he number of reports made to the public body, prescribed person or Commissioner;</w:t>
            </w:r>
          </w:p>
        </w:tc>
        <w:tc>
          <w:tcPr>
            <w:tcW w:w="1418" w:type="dxa"/>
            <w:tcMar/>
            <w:vAlign w:val="center"/>
          </w:tcPr>
          <w:p w:rsidRPr="00C226EF" w:rsidR="001D50C8" w:rsidP="00FA61C3" w:rsidRDefault="001D50C8" w14:paraId="7A01FB22" w14:textId="77777777">
            <w:pPr>
              <w:spacing w:after="47" w:line="254" w:lineRule="auto"/>
              <w:ind w:right="119"/>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1D66FCEB" w14:textId="77777777">
        <w:tc>
          <w:tcPr>
            <w:tcW w:w="691" w:type="dxa"/>
            <w:tcMar/>
            <w:vAlign w:val="center"/>
          </w:tcPr>
          <w:p w:rsidRPr="00C15590" w:rsidR="001D50C8" w:rsidP="00FA61C3" w:rsidRDefault="001D50C8" w14:paraId="23D7AA4D"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23AD1F25" w14:textId="77777777">
            <w:pPr>
              <w:spacing w:before="120" w:after="120"/>
            </w:pPr>
            <w:r>
              <w:t>I</w:t>
            </w:r>
            <w:r w:rsidRPr="00C15590">
              <w:t>n the case of the Commissioner, the number of reports transmitted to the Commissioner under section 8 of the Act;</w:t>
            </w:r>
            <w:r w:rsidRPr="00C15590">
              <w:rPr>
                <w:noProof/>
                <w:lang w:eastAsia="en-IE"/>
              </w:rPr>
              <w:drawing>
                <wp:inline distT="0" distB="0" distL="0" distR="0" wp14:anchorId="1651B8B1" wp14:editId="5827111A">
                  <wp:extent cx="3048" cy="3049"/>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0"/>
                          <a:stretch>
                            <a:fillRect/>
                          </a:stretch>
                        </pic:blipFill>
                        <pic:spPr>
                          <a:xfrm>
                            <a:off x="0" y="0"/>
                            <a:ext cx="3048" cy="3049"/>
                          </a:xfrm>
                          <a:prstGeom prst="rect">
                            <a:avLst/>
                          </a:prstGeom>
                        </pic:spPr>
                      </pic:pic>
                    </a:graphicData>
                  </a:graphic>
                </wp:inline>
              </w:drawing>
            </w:r>
          </w:p>
        </w:tc>
        <w:tc>
          <w:tcPr>
            <w:tcW w:w="1418" w:type="dxa"/>
            <w:tcMar/>
            <w:vAlign w:val="center"/>
          </w:tcPr>
          <w:p w:rsidRPr="00C226EF" w:rsidR="001D50C8" w:rsidP="00FA61C3" w:rsidRDefault="001D50C8" w14:paraId="439099BF" w14:textId="77777777">
            <w:pPr>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714DEBCF" w14:textId="77777777">
        <w:tc>
          <w:tcPr>
            <w:tcW w:w="691" w:type="dxa"/>
            <w:tcMar/>
            <w:vAlign w:val="center"/>
          </w:tcPr>
          <w:p w:rsidRPr="00C15590" w:rsidR="001D50C8" w:rsidP="00FA61C3" w:rsidRDefault="001D50C8" w14:paraId="1301969F"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3EFBFDAC" w14:textId="77777777">
            <w:pPr>
              <w:spacing w:before="120" w:after="120" w:line="254" w:lineRule="auto"/>
              <w:ind w:right="119"/>
            </w:pPr>
            <w:r>
              <w:t>I</w:t>
            </w:r>
            <w:r w:rsidRPr="00C15590">
              <w:t xml:space="preserve">n the case of the Commissioner, the number of reports transmitted by the Commissioner under section </w:t>
            </w:r>
            <w:r>
              <w:t>10</w:t>
            </w:r>
            <w:r w:rsidRPr="00C15590">
              <w:t xml:space="preserve">C(1)(b) or </w:t>
            </w:r>
            <w:r>
              <w:t>10</w:t>
            </w:r>
            <w:r w:rsidRPr="00C15590">
              <w:t xml:space="preserve">D(1)(b)(ii) to another suitable person (within the meaning of section </w:t>
            </w:r>
            <w:r>
              <w:t>10</w:t>
            </w:r>
            <w:r w:rsidRPr="00C15590">
              <w:t xml:space="preserve">C or </w:t>
            </w:r>
            <w:r>
              <w:t>10</w:t>
            </w:r>
            <w:r w:rsidRPr="00C15590">
              <w:t>D, as the case may be);</w:t>
            </w:r>
          </w:p>
        </w:tc>
        <w:tc>
          <w:tcPr>
            <w:tcW w:w="1418" w:type="dxa"/>
            <w:tcMar/>
            <w:vAlign w:val="center"/>
          </w:tcPr>
          <w:p w:rsidRPr="00C226EF" w:rsidR="001D50C8" w:rsidP="00FA61C3" w:rsidRDefault="001D50C8" w14:paraId="643F73E4" w14:textId="77777777">
            <w:pPr>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4A78B57E" w14:textId="77777777">
        <w:tc>
          <w:tcPr>
            <w:tcW w:w="691" w:type="dxa"/>
            <w:tcMar/>
            <w:vAlign w:val="center"/>
          </w:tcPr>
          <w:p w:rsidRPr="00C15590" w:rsidR="001D50C8" w:rsidP="00FA61C3" w:rsidRDefault="001D50C8" w14:paraId="555C5950"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52DB284E" w14:textId="77777777" w14:noSpellErr="1">
            <w:pPr>
              <w:spacing w:before="120" w:after="120"/>
            </w:pPr>
            <w:r w:rsidRPr="330CBF38" w:rsidR="001D50C8">
              <w:rPr>
                <w:lang w:val="en-IE"/>
              </w:rPr>
              <w:t>T</w:t>
            </w:r>
            <w:r w:rsidRPr="330CBF38" w:rsidR="001D50C8">
              <w:rPr>
                <w:lang w:val="en-IE"/>
              </w:rPr>
              <w:t xml:space="preserve">he number of reports transmitted to the public body, prescribed person or Commissioner, as the case may be, under sections 7, 10B, </w:t>
            </w:r>
            <w:r w:rsidRPr="330CBF38" w:rsidR="001D50C8">
              <w:rPr>
                <w:lang w:val="en-IE"/>
              </w:rPr>
              <w:t>10C and 10</w:t>
            </w:r>
            <w:r w:rsidRPr="330CBF38" w:rsidR="001D50C8">
              <w:rPr>
                <w:lang w:val="en-IE"/>
              </w:rPr>
              <w:t xml:space="preserve">D; </w:t>
            </w:r>
          </w:p>
        </w:tc>
        <w:tc>
          <w:tcPr>
            <w:tcW w:w="1418" w:type="dxa"/>
            <w:tcMar/>
            <w:vAlign w:val="center"/>
          </w:tcPr>
          <w:p w:rsidRPr="00C226EF" w:rsidR="001D50C8" w:rsidP="00FA61C3" w:rsidRDefault="001D50C8" w14:paraId="3CA614CC" w14:textId="77777777">
            <w:pPr>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2604FA64" w14:textId="77777777">
        <w:tc>
          <w:tcPr>
            <w:tcW w:w="691" w:type="dxa"/>
            <w:tcMar/>
            <w:vAlign w:val="center"/>
          </w:tcPr>
          <w:p w:rsidRPr="00C15590" w:rsidR="001D50C8" w:rsidP="00FA61C3" w:rsidRDefault="001D50C8" w14:paraId="13D78562"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4E24B593" w14:textId="77777777">
            <w:pPr>
              <w:spacing w:before="120" w:after="120"/>
            </w:pPr>
            <w:r>
              <w:t>I</w:t>
            </w:r>
            <w:r w:rsidRPr="00C15590">
              <w:t>n respect of each report referred to in paragraphs (a) to (d), whether the relevant wrongdoing concerned was a breach;</w:t>
            </w:r>
          </w:p>
        </w:tc>
        <w:tc>
          <w:tcPr>
            <w:tcW w:w="1418" w:type="dxa"/>
            <w:tcMar/>
            <w:vAlign w:val="center"/>
          </w:tcPr>
          <w:p w:rsidRPr="00C226EF" w:rsidR="001D50C8" w:rsidP="00FA61C3" w:rsidRDefault="001D50C8" w14:paraId="7156B259" w14:textId="77777777">
            <w:pPr>
              <w:jc w:val="center"/>
              <w:rPr>
                <w:b/>
                <w:color w:val="2E74B5" w:themeColor="accent1" w:themeShade="BF"/>
                <w:sz w:val="28"/>
                <w:szCs w:val="28"/>
              </w:rPr>
            </w:pPr>
            <w:r>
              <w:rPr>
                <w:b/>
                <w:color w:val="2E74B5" w:themeColor="accent1" w:themeShade="BF"/>
                <w:sz w:val="28"/>
                <w:szCs w:val="28"/>
              </w:rPr>
              <w:t>N/A</w:t>
            </w:r>
          </w:p>
        </w:tc>
      </w:tr>
      <w:tr w:rsidRPr="00C15590" w:rsidR="001D50C8" w:rsidTr="330CBF38" w14:paraId="3F08317E" w14:textId="77777777">
        <w:tc>
          <w:tcPr>
            <w:tcW w:w="691" w:type="dxa"/>
            <w:tcMar/>
            <w:vAlign w:val="center"/>
          </w:tcPr>
          <w:p w:rsidRPr="00C15590" w:rsidR="001D50C8" w:rsidP="00FA61C3" w:rsidRDefault="001D50C8" w14:paraId="2806A41F"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21D31247" w14:textId="77777777" w14:noSpellErr="1">
            <w:pPr>
              <w:spacing w:before="120" w:after="120"/>
            </w:pPr>
            <w:r w:rsidRPr="330CBF38" w:rsidR="001D50C8">
              <w:rPr>
                <w:lang w:val="en-IE"/>
              </w:rPr>
              <w:t>T</w:t>
            </w:r>
            <w:r w:rsidRPr="330CBF38" w:rsidR="001D50C8">
              <w:rPr>
                <w:lang w:val="en-IE"/>
              </w:rPr>
              <w:t xml:space="preserve">he number of investigations and proceedings opened by the public body, prescribed </w:t>
            </w:r>
            <w:r w:rsidRPr="330CBF38" w:rsidR="001D50C8">
              <w:rPr>
                <w:lang w:val="en-IE"/>
              </w:rPr>
              <w:t>person</w:t>
            </w:r>
            <w:r w:rsidRPr="330CBF38" w:rsidR="001D50C8">
              <w:rPr>
                <w:lang w:val="en-IE"/>
              </w:rPr>
              <w:t xml:space="preserve"> or Commissioner in relation to the relevant wrongdoings concerned </w:t>
            </w:r>
            <w:r w:rsidRPr="330CBF38" w:rsidR="001D50C8">
              <w:rPr>
                <w:lang w:val="en-IE"/>
              </w:rPr>
              <w:t>as a result of</w:t>
            </w:r>
            <w:r w:rsidRPr="330CBF38" w:rsidR="001D50C8">
              <w:rPr>
                <w:lang w:val="en-IE"/>
              </w:rPr>
              <w:t xml:space="preserve"> the reports referred to in paragraphs (a) to (d);</w:t>
            </w:r>
          </w:p>
        </w:tc>
        <w:tc>
          <w:tcPr>
            <w:tcW w:w="1418" w:type="dxa"/>
            <w:tcMar/>
            <w:vAlign w:val="center"/>
          </w:tcPr>
          <w:p w:rsidRPr="00C226EF" w:rsidR="001D50C8" w:rsidP="00FA61C3" w:rsidRDefault="001D50C8" w14:paraId="3970FF8A" w14:textId="77777777">
            <w:pPr>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5392C416" w14:textId="77777777">
        <w:tc>
          <w:tcPr>
            <w:tcW w:w="691" w:type="dxa"/>
            <w:tcMar/>
            <w:vAlign w:val="center"/>
          </w:tcPr>
          <w:p w:rsidRPr="00C15590" w:rsidR="001D50C8" w:rsidP="00FA61C3" w:rsidRDefault="001D50C8" w14:paraId="385F78E1"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41AD1BDE" w14:textId="77777777">
            <w:pPr>
              <w:spacing w:before="120" w:after="120"/>
            </w:pPr>
            <w:r>
              <w:t>T</w:t>
            </w:r>
            <w:r w:rsidRPr="00C15590">
              <w:t>he number of investigations and proceedings opened, in the years preceding the year in respect of which the report is being made, by the public body, prescribed person or Commissioner in relation to the relevant wrongdoings concerned that remain open;</w:t>
            </w:r>
          </w:p>
        </w:tc>
        <w:tc>
          <w:tcPr>
            <w:tcW w:w="1418" w:type="dxa"/>
            <w:tcMar/>
            <w:vAlign w:val="center"/>
          </w:tcPr>
          <w:p w:rsidRPr="00C226EF" w:rsidR="001D50C8" w:rsidP="00FA61C3" w:rsidRDefault="001D50C8" w14:paraId="2912DC1B" w14:textId="77777777">
            <w:pPr>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5592FB6F" w14:textId="77777777">
        <w:tc>
          <w:tcPr>
            <w:tcW w:w="691" w:type="dxa"/>
            <w:tcMar/>
            <w:vAlign w:val="center"/>
          </w:tcPr>
          <w:p w:rsidRPr="00C15590" w:rsidR="001D50C8" w:rsidP="00FA61C3" w:rsidRDefault="001D50C8" w14:paraId="40795663"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09F3D801" w14:textId="77777777" w14:noSpellErr="1">
            <w:pPr>
              <w:spacing w:before="120" w:after="120"/>
            </w:pPr>
            <w:r w:rsidRPr="330CBF38" w:rsidR="001D50C8">
              <w:rPr>
                <w:lang w:val="en-IE"/>
              </w:rPr>
              <w:t>T</w:t>
            </w:r>
            <w:r w:rsidRPr="330CBF38" w:rsidR="001D50C8">
              <w:rPr>
                <w:lang w:val="en-IE"/>
              </w:rPr>
              <w:t xml:space="preserve">he number of investigations and proceedings closed by the public body, prescribed </w:t>
            </w:r>
            <w:r w:rsidRPr="330CBF38" w:rsidR="001D50C8">
              <w:rPr>
                <w:lang w:val="en-IE"/>
              </w:rPr>
              <w:t>person</w:t>
            </w:r>
            <w:r w:rsidRPr="330CBF38" w:rsidR="001D50C8">
              <w:rPr>
                <w:lang w:val="en-IE"/>
              </w:rPr>
              <w:t xml:space="preserve"> or Commissioner in relation to the relevant wrongdoings concerned </w:t>
            </w:r>
            <w:r w:rsidRPr="330CBF38" w:rsidR="001D50C8">
              <w:rPr>
                <w:lang w:val="en-IE"/>
              </w:rPr>
              <w:t>as a result of</w:t>
            </w:r>
            <w:r w:rsidRPr="330CBF38" w:rsidR="001D50C8">
              <w:rPr>
                <w:lang w:val="en-IE"/>
              </w:rPr>
              <w:t xml:space="preserve"> the reports referred to in paragraphs (a) to (d); </w:t>
            </w:r>
          </w:p>
        </w:tc>
        <w:tc>
          <w:tcPr>
            <w:tcW w:w="1418" w:type="dxa"/>
            <w:tcMar/>
            <w:vAlign w:val="center"/>
          </w:tcPr>
          <w:p w:rsidRPr="00C226EF" w:rsidR="001D50C8" w:rsidP="00FA61C3" w:rsidRDefault="001D50C8" w14:paraId="6AB24F24" w14:textId="77777777">
            <w:pPr>
              <w:spacing w:after="45" w:line="254" w:lineRule="auto"/>
              <w:ind w:right="119"/>
              <w:jc w:val="center"/>
              <w:rPr>
                <w:b/>
                <w:color w:val="2E74B5" w:themeColor="accent1" w:themeShade="BF"/>
                <w:sz w:val="28"/>
                <w:szCs w:val="28"/>
              </w:rPr>
            </w:pPr>
            <w:r w:rsidRPr="00C226EF">
              <w:rPr>
                <w:b/>
                <w:color w:val="2E74B5" w:themeColor="accent1" w:themeShade="BF"/>
                <w:sz w:val="28"/>
                <w:szCs w:val="28"/>
              </w:rPr>
              <w:t>0</w:t>
            </w:r>
          </w:p>
        </w:tc>
      </w:tr>
      <w:tr w:rsidRPr="00C15590" w:rsidR="001D50C8" w:rsidTr="330CBF38" w14:paraId="214C4B6C" w14:textId="77777777">
        <w:tc>
          <w:tcPr>
            <w:tcW w:w="691" w:type="dxa"/>
            <w:tcMar/>
            <w:vAlign w:val="center"/>
          </w:tcPr>
          <w:p w:rsidRPr="00C15590" w:rsidR="001D50C8" w:rsidP="00FA61C3" w:rsidRDefault="001D50C8" w14:paraId="02C4A59F"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4D128580" w14:textId="77777777" w14:noSpellErr="1">
            <w:pPr>
              <w:spacing w:before="120" w:after="120"/>
            </w:pPr>
            <w:r w:rsidRPr="330CBF38" w:rsidR="001D50C8">
              <w:rPr>
                <w:lang w:val="en-IE"/>
              </w:rPr>
              <w:t>I</w:t>
            </w:r>
            <w:r w:rsidRPr="330CBF38" w:rsidR="001D50C8">
              <w:rPr>
                <w:lang w:val="en-IE"/>
              </w:rPr>
              <w:t>n respect of each closed investigation or proceedings referred to in paragraph (h), the outcome of the investigation or proceedings and the decision taken by the public body, prescribed person or Commissioner;</w:t>
            </w:r>
          </w:p>
        </w:tc>
        <w:tc>
          <w:tcPr>
            <w:tcW w:w="1418" w:type="dxa"/>
            <w:tcMar/>
            <w:vAlign w:val="center"/>
          </w:tcPr>
          <w:p w:rsidRPr="00C226EF" w:rsidR="001D50C8" w:rsidP="00FA61C3" w:rsidRDefault="001D50C8" w14:paraId="5A9856F1" w14:textId="77777777">
            <w:pPr>
              <w:spacing w:after="45" w:line="254" w:lineRule="auto"/>
              <w:ind w:right="119"/>
              <w:jc w:val="center"/>
              <w:rPr>
                <w:b/>
                <w:color w:val="2E74B5" w:themeColor="accent1" w:themeShade="BF"/>
                <w:sz w:val="28"/>
                <w:szCs w:val="28"/>
              </w:rPr>
            </w:pPr>
            <w:r>
              <w:rPr>
                <w:b/>
                <w:color w:val="2E74B5" w:themeColor="accent1" w:themeShade="BF"/>
                <w:sz w:val="28"/>
                <w:szCs w:val="28"/>
              </w:rPr>
              <w:t>N/A</w:t>
            </w:r>
          </w:p>
        </w:tc>
      </w:tr>
      <w:tr w:rsidRPr="00C15590" w:rsidR="001D50C8" w:rsidTr="330CBF38" w14:paraId="543E77D2" w14:textId="77777777">
        <w:tc>
          <w:tcPr>
            <w:tcW w:w="691" w:type="dxa"/>
            <w:tcMar/>
            <w:vAlign w:val="center"/>
          </w:tcPr>
          <w:p w:rsidRPr="00C15590" w:rsidR="001D50C8" w:rsidP="00FA61C3" w:rsidRDefault="001D50C8" w14:paraId="06F628FB"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2C8EE83F" w14:textId="77777777" w14:noSpellErr="1">
            <w:pPr>
              <w:spacing w:before="120" w:after="120"/>
            </w:pPr>
            <w:r w:rsidRPr="330CBF38" w:rsidR="001D50C8">
              <w:rPr>
                <w:lang w:val="en-IE"/>
              </w:rPr>
              <w:t>W</w:t>
            </w:r>
            <w:r w:rsidRPr="330CBF38" w:rsidR="001D50C8">
              <w:rPr>
                <w:lang w:val="en-IE"/>
              </w:rPr>
              <w:t>here relevant and in so far as it can be ascertained, the estimated financial damage and the amounts recovered following any investigation and proceedings referred to in paragraph (h);</w:t>
            </w:r>
          </w:p>
        </w:tc>
        <w:tc>
          <w:tcPr>
            <w:tcW w:w="1418" w:type="dxa"/>
            <w:tcMar/>
            <w:vAlign w:val="center"/>
          </w:tcPr>
          <w:p w:rsidRPr="00C226EF" w:rsidR="001D50C8" w:rsidP="00FA61C3" w:rsidRDefault="001D50C8" w14:paraId="0170822C" w14:textId="77777777">
            <w:pPr>
              <w:spacing w:after="48" w:line="254" w:lineRule="auto"/>
              <w:ind w:right="141"/>
              <w:jc w:val="center"/>
              <w:rPr>
                <w:b/>
                <w:color w:val="2E74B5" w:themeColor="accent1" w:themeShade="BF"/>
                <w:sz w:val="28"/>
                <w:szCs w:val="28"/>
              </w:rPr>
            </w:pPr>
            <w:r>
              <w:rPr>
                <w:b/>
                <w:color w:val="2E74B5" w:themeColor="accent1" w:themeShade="BF"/>
                <w:sz w:val="28"/>
                <w:szCs w:val="28"/>
              </w:rPr>
              <w:t>N/A</w:t>
            </w:r>
          </w:p>
        </w:tc>
      </w:tr>
      <w:tr w:rsidRPr="00C15590" w:rsidR="001D50C8" w:rsidTr="330CBF38" w14:paraId="3A8DEA26" w14:textId="77777777">
        <w:tc>
          <w:tcPr>
            <w:tcW w:w="691" w:type="dxa"/>
            <w:tcMar/>
            <w:vAlign w:val="center"/>
          </w:tcPr>
          <w:p w:rsidRPr="00C15590" w:rsidR="001D50C8" w:rsidP="00FA61C3" w:rsidRDefault="001D50C8" w14:paraId="7B87A913" w14:textId="77777777">
            <w:pPr>
              <w:numPr>
                <w:ilvl w:val="0"/>
                <w:numId w:val="1"/>
              </w:numPr>
              <w:spacing w:after="47" w:line="254" w:lineRule="auto"/>
              <w:ind w:right="119" w:hanging="528"/>
            </w:pPr>
          </w:p>
        </w:tc>
        <w:tc>
          <w:tcPr>
            <w:tcW w:w="7242" w:type="dxa"/>
            <w:tcMar/>
            <w:vAlign w:val="center"/>
          </w:tcPr>
          <w:p w:rsidRPr="00C15590" w:rsidR="001D50C8" w:rsidP="00FA61C3" w:rsidRDefault="001D50C8" w14:paraId="1E6E37E3" w14:textId="77777777" w14:noSpellErr="1">
            <w:pPr>
              <w:spacing w:before="120" w:after="120" w:line="258" w:lineRule="auto"/>
              <w:ind w:right="141"/>
            </w:pPr>
            <w:r w:rsidRPr="330CBF38" w:rsidR="001D50C8">
              <w:rPr>
                <w:lang w:val="en-IE"/>
              </w:rPr>
              <w:t>S</w:t>
            </w:r>
            <w:r w:rsidRPr="330CBF38" w:rsidR="001D50C8">
              <w:rPr>
                <w:lang w:val="en-IE"/>
              </w:rPr>
              <w:t>uch other information relating to the performance of the functions of public bodies, prescribed bodies or the Commissioner, as the case may be under this Act, as may be requested by the Minister.</w:t>
            </w:r>
          </w:p>
        </w:tc>
        <w:tc>
          <w:tcPr>
            <w:tcW w:w="1418" w:type="dxa"/>
            <w:tcMar/>
            <w:vAlign w:val="center"/>
          </w:tcPr>
          <w:p w:rsidRPr="00C226EF" w:rsidR="001D50C8" w:rsidP="00FA61C3" w:rsidRDefault="001D50C8" w14:paraId="0562CE38" w14:textId="77777777">
            <w:pPr>
              <w:spacing w:after="193" w:line="258" w:lineRule="auto"/>
              <w:ind w:right="141"/>
              <w:jc w:val="center"/>
              <w:rPr>
                <w:b/>
                <w:color w:val="2E74B5" w:themeColor="accent1" w:themeShade="BF"/>
                <w:sz w:val="28"/>
                <w:szCs w:val="28"/>
              </w:rPr>
            </w:pPr>
            <w:r>
              <w:rPr>
                <w:b/>
                <w:color w:val="2E74B5" w:themeColor="accent1" w:themeShade="BF"/>
                <w:sz w:val="28"/>
                <w:szCs w:val="28"/>
              </w:rPr>
              <w:t>N/A</w:t>
            </w:r>
          </w:p>
        </w:tc>
      </w:tr>
    </w:tbl>
    <w:p w:rsidR="001D50C8" w:rsidP="001D50C8" w:rsidRDefault="001D50C8" w14:paraId="715C894C" w14:textId="77777777"/>
    <w:p w:rsidR="001D50C8" w:rsidP="001D50C8" w:rsidRDefault="001D50C8" w14:paraId="060C0C1E" w14:textId="77777777">
      <w:r>
        <w:t xml:space="preserve">The Kerry ETB </w:t>
      </w:r>
      <w:r w:rsidRPr="00430698">
        <w:rPr>
          <w:i/>
        </w:rPr>
        <w:t>Policy for the Making of Protected Disclosures</w:t>
      </w:r>
      <w:r>
        <w:t xml:space="preserve"> details the internal reporting channels and procedures and external reporting channels and procedures for the making of protected disclosures.</w:t>
      </w:r>
    </w:p>
    <w:p w:rsidR="001D50C8" w:rsidP="001D50C8" w:rsidRDefault="001D50C8" w14:paraId="173996C5" w14:textId="77777777"/>
    <w:p w:rsidR="001D50C8" w:rsidP="001D50C8" w:rsidRDefault="001D50C8" w14:paraId="1759BC11" w14:textId="77777777"/>
    <w:p w:rsidR="001D50C8" w:rsidP="001D50C8" w:rsidRDefault="001D50C8" w14:paraId="68908A00" w14:textId="77777777"/>
    <w:p w:rsidRPr="00C15590" w:rsidR="001D50C8" w:rsidP="001D50C8" w:rsidRDefault="001D50C8" w14:paraId="0C0B1A30" w14:textId="77777777"/>
    <w:p w:rsidR="004012CA" w:rsidRDefault="00DE3F01" w14:paraId="20F86467" w14:textId="77777777"/>
    <w:sectPr w:rsidR="004012CA" w:rsidSect="00807904">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CF" w:rsidRDefault="0094004A" w14:paraId="1F20CB35" w14:textId="77777777">
      <w:r>
        <w:separator/>
      </w:r>
    </w:p>
  </w:endnote>
  <w:endnote w:type="continuationSeparator" w:id="0">
    <w:p w:rsidR="00DB43CF" w:rsidRDefault="0094004A" w14:paraId="1E14C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57D" w:rsidRDefault="0039657D" w14:paraId="3349F1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132736"/>
      <w:docPartObj>
        <w:docPartGallery w:val="Page Numbers (Bottom of Page)"/>
        <w:docPartUnique/>
      </w:docPartObj>
    </w:sdtPr>
    <w:sdtEndPr/>
    <w:sdtContent>
      <w:sdt>
        <w:sdtPr>
          <w:id w:val="-1769616900"/>
          <w:docPartObj>
            <w:docPartGallery w:val="Page Numbers (Top of Page)"/>
            <w:docPartUnique/>
          </w:docPartObj>
        </w:sdtPr>
        <w:sdtEndPr/>
        <w:sdtContent>
          <w:p w:rsidR="001E0857" w:rsidRDefault="001E0857" w14:paraId="55A302D0"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6F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6FE4">
              <w:rPr>
                <w:b/>
                <w:bCs/>
                <w:noProof/>
              </w:rPr>
              <w:t>2</w:t>
            </w:r>
            <w:r>
              <w:rPr>
                <w:b/>
                <w:bCs/>
                <w:sz w:val="24"/>
                <w:szCs w:val="24"/>
              </w:rPr>
              <w:fldChar w:fldCharType="end"/>
            </w:r>
          </w:p>
        </w:sdtContent>
      </w:sdt>
    </w:sdtContent>
  </w:sdt>
  <w:p w:rsidR="00C226EF" w:rsidRDefault="00DE3F01" w14:paraId="69AFD9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57D" w:rsidRDefault="0039657D" w14:paraId="69D6C7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CF" w:rsidRDefault="0094004A" w14:paraId="722A3AA9" w14:textId="77777777">
      <w:r>
        <w:separator/>
      </w:r>
    </w:p>
  </w:footnote>
  <w:footnote w:type="continuationSeparator" w:id="0">
    <w:p w:rsidR="00DB43CF" w:rsidRDefault="0094004A" w14:paraId="3B3F34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226EF" w:rsidRDefault="001D50C8" w14:paraId="49841B00" w14:textId="77777777">
    <w:pPr>
      <w:pStyle w:val="Header"/>
    </w:pPr>
    <w:r>
      <w:rPr>
        <w:noProof/>
        <w:lang w:eastAsia="en-IE"/>
      </w:rPr>
      <mc:AlternateContent>
        <mc:Choice Requires="wps">
          <w:drawing>
            <wp:anchor distT="0" distB="0" distL="114300" distR="114300" simplePos="0" relativeHeight="251656704" behindDoc="1" locked="0" layoutInCell="0" allowOverlap="1" wp14:anchorId="7D3ABB2B" wp14:editId="512B4DB7">
              <wp:simplePos x="0" y="0"/>
              <wp:positionH relativeFrom="margin">
                <wp:align>center</wp:align>
              </wp:positionH>
              <wp:positionV relativeFrom="margin">
                <wp:align>center</wp:align>
              </wp:positionV>
              <wp:extent cx="6471285" cy="2157095"/>
              <wp:effectExtent l="0" t="1752600" r="0" b="13481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50C8" w:rsidP="001D50C8" w:rsidRDefault="001D50C8" w14:paraId="38901404"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3ABB2B">
              <v:stroke joinstyle="miter"/>
              <v:path gradientshapeok="t" o:connecttype="rect"/>
            </v:shapetype>
            <v:shape id="Text Box 2" style="position:absolute;margin-left:0;margin-top:0;width:509.55pt;height:169.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">
              <v:stroke joinstyle="round"/>
              <o:lock v:ext="edit" shapetype="t"/>
              <v:textbox style="mso-fit-shape-to-text:t">
                <w:txbxContent>
                  <w:p w:rsidR="001D50C8" w:rsidP="001D50C8" w:rsidRDefault="001D50C8" w14:paraId="38901404"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226EF" w:rsidRDefault="001D50C8" w14:paraId="3BF29A92" w14:textId="77777777">
    <w:pPr>
      <w:pStyle w:val="Header"/>
    </w:pPr>
    <w:r>
      <w:rPr>
        <w:noProof/>
        <w:lang w:eastAsia="en-IE"/>
      </w:rPr>
      <mc:AlternateContent>
        <mc:Choice Requires="wps">
          <w:drawing>
            <wp:anchor distT="0" distB="0" distL="114300" distR="114300" simplePos="0" relativeHeight="251657728" behindDoc="1" locked="0" layoutInCell="0" allowOverlap="1" wp14:anchorId="0551514E" wp14:editId="1BA8DF6D">
              <wp:simplePos x="0" y="0"/>
              <wp:positionH relativeFrom="margin">
                <wp:align>center</wp:align>
              </wp:positionH>
              <wp:positionV relativeFrom="margin">
                <wp:align>center</wp:align>
              </wp:positionV>
              <wp:extent cx="6471285" cy="2157095"/>
              <wp:effectExtent l="0" t="1752600" r="0" b="13481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50C8" w:rsidP="001D50C8" w:rsidRDefault="001D50C8" w14:paraId="222CE734"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51514E">
              <v:stroke joinstyle="miter"/>
              <v:path gradientshapeok="t" o:connecttype="rect"/>
            </v:shapetype>
            <v:shape id="Text Box 1" style="position:absolute;margin-left:0;margin-top:0;width:509.55pt;height:169.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">
              <v:stroke joinstyle="round"/>
              <o:lock v:ext="edit" shapetype="t"/>
              <v:textbox style="mso-fit-shape-to-text:t">
                <w:txbxContent>
                  <w:p w:rsidR="001D50C8" w:rsidP="001D50C8" w:rsidRDefault="001D50C8" w14:paraId="222CE734"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6EF" w:rsidRDefault="00DE3F01" w14:paraId="49B1D1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3824"/>
    <w:multiLevelType w:val="hybridMultilevel"/>
    <w:tmpl w:val="0EE24452"/>
    <w:lvl w:ilvl="0" w:tplc="6EF64F06">
      <w:start w:val="1"/>
      <w:numFmt w:val="lowerLetter"/>
      <w:lvlText w:val="(%1)"/>
      <w:lvlJc w:val="left"/>
      <w:pPr>
        <w:ind w:left="6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948E8D6">
      <w:start w:val="1"/>
      <w:numFmt w:val="lowerLetter"/>
      <w:lvlText w:val="%2"/>
      <w:lvlJc w:val="left"/>
      <w:pPr>
        <w:ind w:left="128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7ACBAD6">
      <w:start w:val="1"/>
      <w:numFmt w:val="lowerRoman"/>
      <w:lvlText w:val="%3"/>
      <w:lvlJc w:val="left"/>
      <w:pPr>
        <w:ind w:left="200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319C9282">
      <w:start w:val="1"/>
      <w:numFmt w:val="decimal"/>
      <w:lvlText w:val="%4"/>
      <w:lvlJc w:val="left"/>
      <w:pPr>
        <w:ind w:left="272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CEC919E">
      <w:start w:val="1"/>
      <w:numFmt w:val="lowerLetter"/>
      <w:lvlText w:val="%5"/>
      <w:lvlJc w:val="left"/>
      <w:pPr>
        <w:ind w:left="344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164C36C">
      <w:start w:val="1"/>
      <w:numFmt w:val="lowerRoman"/>
      <w:lvlText w:val="%6"/>
      <w:lvlJc w:val="left"/>
      <w:pPr>
        <w:ind w:left="416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0E61898">
      <w:start w:val="1"/>
      <w:numFmt w:val="decimal"/>
      <w:lvlText w:val="%7"/>
      <w:lvlJc w:val="left"/>
      <w:pPr>
        <w:ind w:left="488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C570EFEC">
      <w:start w:val="1"/>
      <w:numFmt w:val="lowerLetter"/>
      <w:lvlText w:val="%8"/>
      <w:lvlJc w:val="left"/>
      <w:pPr>
        <w:ind w:left="560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AFCCCA8">
      <w:start w:val="1"/>
      <w:numFmt w:val="lowerRoman"/>
      <w:lvlText w:val="%9"/>
      <w:lvlJc w:val="left"/>
      <w:pPr>
        <w:ind w:left="632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C8"/>
    <w:rsid w:val="00010723"/>
    <w:rsid w:val="00016E0B"/>
    <w:rsid w:val="00050BAC"/>
    <w:rsid w:val="000670A9"/>
    <w:rsid w:val="000858DE"/>
    <w:rsid w:val="000F0539"/>
    <w:rsid w:val="001059D8"/>
    <w:rsid w:val="00115C30"/>
    <w:rsid w:val="00144843"/>
    <w:rsid w:val="00173076"/>
    <w:rsid w:val="001D50C8"/>
    <w:rsid w:val="001E0857"/>
    <w:rsid w:val="002E55EB"/>
    <w:rsid w:val="00307C78"/>
    <w:rsid w:val="00315DAD"/>
    <w:rsid w:val="003718B9"/>
    <w:rsid w:val="00375AD1"/>
    <w:rsid w:val="00385EDF"/>
    <w:rsid w:val="0039657D"/>
    <w:rsid w:val="003A13D3"/>
    <w:rsid w:val="0042707F"/>
    <w:rsid w:val="00462CC4"/>
    <w:rsid w:val="00485E7F"/>
    <w:rsid w:val="00510260"/>
    <w:rsid w:val="00553908"/>
    <w:rsid w:val="005B1EBC"/>
    <w:rsid w:val="005C7856"/>
    <w:rsid w:val="006A7E30"/>
    <w:rsid w:val="006C5BE8"/>
    <w:rsid w:val="00784642"/>
    <w:rsid w:val="007948A8"/>
    <w:rsid w:val="007D61A8"/>
    <w:rsid w:val="007E073D"/>
    <w:rsid w:val="00807904"/>
    <w:rsid w:val="00826FF7"/>
    <w:rsid w:val="00861568"/>
    <w:rsid w:val="0094004A"/>
    <w:rsid w:val="00983165"/>
    <w:rsid w:val="00A00833"/>
    <w:rsid w:val="00AA4A05"/>
    <w:rsid w:val="00AB709A"/>
    <w:rsid w:val="00AC59CE"/>
    <w:rsid w:val="00B44744"/>
    <w:rsid w:val="00B5667C"/>
    <w:rsid w:val="00B73AB7"/>
    <w:rsid w:val="00B906DB"/>
    <w:rsid w:val="00C129EE"/>
    <w:rsid w:val="00C86E5C"/>
    <w:rsid w:val="00C91E7F"/>
    <w:rsid w:val="00CC18A0"/>
    <w:rsid w:val="00D028E6"/>
    <w:rsid w:val="00DB43CF"/>
    <w:rsid w:val="00DE3F01"/>
    <w:rsid w:val="00DE7B13"/>
    <w:rsid w:val="00E612BF"/>
    <w:rsid w:val="00EB5CBB"/>
    <w:rsid w:val="00EE6FE4"/>
    <w:rsid w:val="00F35F26"/>
    <w:rsid w:val="29174C19"/>
    <w:rsid w:val="2B28E4B1"/>
    <w:rsid w:val="2EAACF05"/>
    <w:rsid w:val="330CBF38"/>
    <w:rsid w:val="4A44809B"/>
    <w:rsid w:val="63072C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A367A"/>
  <w15:chartTrackingRefBased/>
  <w15:docId w15:val="{A18DBCAA-C391-4423-BDC9-B1E5797F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D50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D50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50C8"/>
    <w:pPr>
      <w:tabs>
        <w:tab w:val="center" w:pos="4513"/>
        <w:tab w:val="right" w:pos="9026"/>
      </w:tabs>
    </w:pPr>
  </w:style>
  <w:style w:type="character" w:styleId="HeaderChar" w:customStyle="1">
    <w:name w:val="Header Char"/>
    <w:basedOn w:val="DefaultParagraphFont"/>
    <w:link w:val="Header"/>
    <w:uiPriority w:val="99"/>
    <w:rsid w:val="001D50C8"/>
  </w:style>
  <w:style w:type="paragraph" w:styleId="Footer">
    <w:name w:val="footer"/>
    <w:basedOn w:val="Normal"/>
    <w:link w:val="FooterChar"/>
    <w:uiPriority w:val="99"/>
    <w:unhideWhenUsed/>
    <w:rsid w:val="001D50C8"/>
    <w:pPr>
      <w:tabs>
        <w:tab w:val="center" w:pos="4513"/>
        <w:tab w:val="right" w:pos="9026"/>
      </w:tabs>
    </w:pPr>
  </w:style>
  <w:style w:type="character" w:styleId="FooterChar" w:customStyle="1">
    <w:name w:val="Footer Char"/>
    <w:basedOn w:val="DefaultParagraphFont"/>
    <w:link w:val="Footer"/>
    <w:uiPriority w:val="99"/>
    <w:rsid w:val="001D50C8"/>
  </w:style>
  <w:style w:type="paragraph" w:styleId="NormalWeb">
    <w:name w:val="Normal (Web)"/>
    <w:basedOn w:val="Normal"/>
    <w:uiPriority w:val="99"/>
    <w:semiHidden/>
    <w:unhideWhenUsed/>
    <w:rsid w:val="001D50C8"/>
    <w:pPr>
      <w:spacing w:before="100" w:beforeAutospacing="1" w:after="100" w:afterAutospacing="1"/>
    </w:pPr>
    <w:rPr>
      <w:rFonts w:ascii="Times New Roman" w:hAnsi="Times New Roman" w:cs="Times New Roman" w:eastAsiaTheme="minorEastAsia"/>
      <w:sz w:val="24"/>
      <w:szCs w:val="24"/>
      <w:lang w:eastAsia="en-IE"/>
    </w:rPr>
  </w:style>
  <w:style w:type="character" w:styleId="Hyperlink">
    <w:name w:val="Hyperlink"/>
    <w:basedOn w:val="DefaultParagraphFont"/>
    <w:uiPriority w:val="99"/>
    <w:unhideWhenUsed/>
    <w:rsid w:val="001E0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image" Target="media/image3.jpg"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oter" Target="footer2.xml" Id="rId14" /><Relationship Type="http://schemas.openxmlformats.org/officeDocument/2006/relationships/hyperlink" Target="mailto:corporateaffairs@kerryetb.ie" TargetMode="External" Id="Rb0f98b15f3224c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256FFF368A54F9D05CDEE17365BBD" ma:contentTypeVersion="15" ma:contentTypeDescription="Create a new document." ma:contentTypeScope="" ma:versionID="90f4bbbe07a9dde5cc0dd0e08a22e1ec">
  <xsd:schema xmlns:xsd="http://www.w3.org/2001/XMLSchema" xmlns:xs="http://www.w3.org/2001/XMLSchema" xmlns:p="http://schemas.microsoft.com/office/2006/metadata/properties" xmlns:ns2="495bac69-d2fd-4afb-b661-2b086e1a9fbb" xmlns:ns3="1f650396-961b-4e95-8580-4bfa456a4f2d" targetNamespace="http://schemas.microsoft.com/office/2006/metadata/properties" ma:root="true" ma:fieldsID="925d6c565b213ab7cae9cf209e1a626b" ns2:_="" ns3:_="">
    <xsd:import namespace="495bac69-d2fd-4afb-b661-2b086e1a9fbb"/>
    <xsd:import namespace="1f650396-961b-4e95-8580-4bfa456a4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bac69-d2fd-4afb-b661-2b086e1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50396-961b-4e95-8580-4bfa456a4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65f860-21b5-47e6-999d-edb2af50746a}" ma:internalName="TaxCatchAll" ma:showField="CatchAllData" ma:web="1f650396-961b-4e95-8580-4bfa456a4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5bac69-d2fd-4afb-b661-2b086e1a9fbb">
      <Terms xmlns="http://schemas.microsoft.com/office/infopath/2007/PartnerControls"/>
    </lcf76f155ced4ddcb4097134ff3c332f>
    <TaxCatchAll xmlns="1f650396-961b-4e95-8580-4bfa456a4f2d" xsi:nil="true"/>
  </documentManagement>
</p:properties>
</file>

<file path=customXml/itemProps1.xml><?xml version="1.0" encoding="utf-8"?>
<ds:datastoreItem xmlns:ds="http://schemas.openxmlformats.org/officeDocument/2006/customXml" ds:itemID="{26FFBA5E-1BB0-4B84-802F-47E165E8D04F}"/>
</file>

<file path=customXml/itemProps2.xml><?xml version="1.0" encoding="utf-8"?>
<ds:datastoreItem xmlns:ds="http://schemas.openxmlformats.org/officeDocument/2006/customXml" ds:itemID="{2BEF64C6-DB17-4A69-B315-B348FFFA5D9D}"/>
</file>

<file path=customXml/itemProps3.xml><?xml version="1.0" encoding="utf-8"?>
<ds:datastoreItem xmlns:ds="http://schemas.openxmlformats.org/officeDocument/2006/customXml" ds:itemID="{F8DD9E62-FA07-45ED-9CF7-B47DAB0F67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Kerry Education and Training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Grainne Mulvihill</dc:creator>
  <keywords/>
  <dc:description/>
  <lastModifiedBy>Danny Kerins</lastModifiedBy>
  <revision>9</revision>
  <lastPrinted>2024-01-30T14:19:00.0000000Z</lastPrinted>
  <dcterms:created xsi:type="dcterms:W3CDTF">2024-01-23T10:37:00.0000000Z</dcterms:created>
  <dcterms:modified xsi:type="dcterms:W3CDTF">2025-02-20T10:07:01.5866668Z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0x010100C92256FFF368A54F9D05CDEE17365BBD</vt:lpwstr>
  </property>
  <property fmtid="{D5CDD505-2E9C-101B-9397-08002B2CF9AE}" pid="3" name="MediaServiceImageTags">
    <vt:lpwstr/>
  </property>
</Properties>
</file>